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Salem kommunfullmäktige</w:t>
      </w:r>
    </w:p>
    <w:p>
      <w:pPr>
        <w:pStyle w:val="Heading1"/>
      </w:pPr>
      <w:r>
        <w:t xml:space="preserve">Fler hyresrätter i Rönninge och Salem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Salem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Salem är akut. Endast 18 % hyresrätter enligt Boverket 2024. Unga och nyanlända har svårt att etablera sig. Kommunen äger mark som kan användas för allmännyttiga bostäder.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Salem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planering av 150 nya hyresrätter på kommunal mark.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Salem kommunfastigheter i uppdrag att bygga minst 80 lägenheter.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hyresrätter i detaljplaner för Rönninge.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krav på blandade upplåtelseformer i nya områden.</w:t>
      </w:r>
    </w:p>
    <w:p>
      <w:pPr>
        <w:spacing w:before="360"/>
      </w:pPr>
    </w:p>
    <w:p>
      <w:r>
        <w:t xml:space="preserve">Salem,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Salem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2026-07-14T01:12:29.927Z</dcterms:created>
  <dcterms:modified xsi:type="dcterms:W3CDTF">2026-07-14T01:12:29.927Z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